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1897"/>
        <w:gridCol w:w="7138"/>
      </w:tblGrid>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Title</w:t>
            </w:r>
          </w:p>
        </w:tc>
        <w:tc>
          <w:tcPr>
            <w:tcW w:w="3950" w:type="pct"/>
            <w:hideMark/>
          </w:tcPr>
          <w:p w:rsidR="00792610" w:rsidRDefault="00792610" w:rsidP="00294E99">
            <w:pPr>
              <w:rPr>
                <w:rFonts w:ascii="Arial" w:hAnsi="Arial" w:cs="Arial"/>
                <w:color w:val="000000"/>
                <w:sz w:val="20"/>
                <w:szCs w:val="20"/>
              </w:rPr>
            </w:pPr>
            <w:r>
              <w:rPr>
                <w:rFonts w:ascii="Arial" w:hAnsi="Arial" w:cs="Arial"/>
                <w:b/>
                <w:bCs/>
                <w:sz w:val="20"/>
                <w:szCs w:val="20"/>
              </w:rPr>
              <w:t>Patch Management and Vulnerability</w:t>
            </w: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Type</w:t>
            </w:r>
          </w:p>
        </w:tc>
        <w:tc>
          <w:tcPr>
            <w:tcW w:w="3950" w:type="pct"/>
            <w:hideMark/>
          </w:tcPr>
          <w:p w:rsidR="00792610" w:rsidRDefault="00792610" w:rsidP="00294E99">
            <w:pPr>
              <w:rPr>
                <w:rFonts w:ascii="Arial" w:hAnsi="Arial" w:cs="Arial"/>
                <w:color w:val="000000"/>
                <w:sz w:val="20"/>
                <w:szCs w:val="20"/>
              </w:rPr>
            </w:pPr>
            <w:r>
              <w:rPr>
                <w:rFonts w:ascii="Arial" w:hAnsi="Arial" w:cs="Arial"/>
                <w:sz w:val="20"/>
                <w:szCs w:val="20"/>
              </w:rPr>
              <w:t>Standard</w:t>
            </w: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Related Policy</w:t>
            </w:r>
          </w:p>
        </w:tc>
        <w:tc>
          <w:tcPr>
            <w:tcW w:w="3950" w:type="pct"/>
            <w:hideMark/>
          </w:tcPr>
          <w:p w:rsidR="00792610" w:rsidRDefault="00792610" w:rsidP="00294E99">
            <w:pPr>
              <w:rPr>
                <w:rFonts w:ascii="Arial" w:hAnsi="Arial" w:cs="Arial"/>
                <w:color w:val="000000"/>
                <w:sz w:val="20"/>
                <w:szCs w:val="20"/>
              </w:rPr>
            </w:pPr>
            <w:r>
              <w:rPr>
                <w:rFonts w:ascii="Arial" w:hAnsi="Arial" w:cs="Arial"/>
                <w:sz w:val="20"/>
                <w:szCs w:val="20"/>
              </w:rPr>
              <w:t>Information Technology Protection Policy</w:t>
            </w: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Category</w:t>
            </w:r>
          </w:p>
        </w:tc>
        <w:tc>
          <w:tcPr>
            <w:tcW w:w="3950" w:type="pct"/>
            <w:hideMark/>
          </w:tcPr>
          <w:p w:rsidR="00792610" w:rsidRDefault="00792610" w:rsidP="00294E99">
            <w:pPr>
              <w:rPr>
                <w:rFonts w:ascii="Arial" w:hAnsi="Arial" w:cs="Arial"/>
                <w:color w:val="000000"/>
                <w:sz w:val="20"/>
                <w:szCs w:val="20"/>
              </w:rPr>
            </w:pPr>
            <w:r>
              <w:rPr>
                <w:rFonts w:ascii="Arial" w:hAnsi="Arial" w:cs="Arial"/>
                <w:sz w:val="20"/>
                <w:szCs w:val="20"/>
              </w:rPr>
              <w:t>Security</w:t>
            </w: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Status</w:t>
            </w:r>
          </w:p>
        </w:tc>
        <w:tc>
          <w:tcPr>
            <w:tcW w:w="3950" w:type="pct"/>
            <w:hideMark/>
          </w:tcPr>
          <w:p w:rsidR="00792610" w:rsidRDefault="00792610" w:rsidP="00294E99">
            <w:pPr>
              <w:rPr>
                <w:rFonts w:ascii="Arial" w:hAnsi="Arial" w:cs="Arial"/>
                <w:color w:val="000000"/>
                <w:sz w:val="20"/>
                <w:szCs w:val="20"/>
              </w:rPr>
            </w:pPr>
            <w:r>
              <w:rPr>
                <w:rFonts w:ascii="Arial" w:hAnsi="Arial" w:cs="Arial"/>
                <w:sz w:val="20"/>
                <w:szCs w:val="20"/>
              </w:rPr>
              <w:t>Approved</w:t>
            </w: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Approved</w:t>
            </w:r>
          </w:p>
        </w:tc>
        <w:tc>
          <w:tcPr>
            <w:tcW w:w="3950" w:type="pct"/>
            <w:hideMark/>
          </w:tcPr>
          <w:p w:rsidR="00792610" w:rsidRDefault="00D03207" w:rsidP="00294E99">
            <w:pPr>
              <w:rPr>
                <w:rFonts w:ascii="Arial" w:hAnsi="Arial" w:cs="Arial"/>
                <w:color w:val="000000"/>
                <w:sz w:val="20"/>
                <w:szCs w:val="20"/>
              </w:rPr>
            </w:pPr>
            <w:r>
              <w:rPr>
                <w:rFonts w:ascii="Arial" w:hAnsi="Arial" w:cs="Arial"/>
                <w:sz w:val="20"/>
                <w:szCs w:val="20"/>
              </w:rPr>
              <w:t>08/07/2012</w:t>
            </w: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To Be Reviewed</w:t>
            </w:r>
          </w:p>
        </w:tc>
        <w:tc>
          <w:tcPr>
            <w:tcW w:w="3950" w:type="pct"/>
            <w:hideMark/>
          </w:tcPr>
          <w:p w:rsidR="00792610" w:rsidRDefault="00D03207" w:rsidP="00294E99">
            <w:pPr>
              <w:rPr>
                <w:rFonts w:ascii="Arial" w:hAnsi="Arial" w:cs="Arial"/>
                <w:color w:val="000000"/>
                <w:sz w:val="20"/>
                <w:szCs w:val="20"/>
              </w:rPr>
            </w:pPr>
            <w:r>
              <w:rPr>
                <w:rFonts w:ascii="Arial" w:hAnsi="Arial" w:cs="Arial"/>
                <w:sz w:val="20"/>
                <w:szCs w:val="20"/>
              </w:rPr>
              <w:t>08/05/2015</w:t>
            </w:r>
            <w:bookmarkStart w:id="0" w:name="_GoBack"/>
            <w:bookmarkEnd w:id="0"/>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b/>
                <w:bCs/>
                <w:sz w:val="20"/>
                <w:szCs w:val="20"/>
              </w:rPr>
            </w:pPr>
            <w:r>
              <w:rPr>
                <w:rFonts w:ascii="Arial" w:hAnsi="Arial" w:cs="Arial"/>
                <w:b/>
                <w:bCs/>
                <w:sz w:val="20"/>
                <w:szCs w:val="20"/>
              </w:rPr>
              <w:t>Scope</w:t>
            </w:r>
          </w:p>
          <w:p w:rsidR="00F51562" w:rsidRDefault="00F51562" w:rsidP="00294E99">
            <w:pPr>
              <w:jc w:val="right"/>
              <w:rPr>
                <w:rFonts w:ascii="Arial" w:hAnsi="Arial" w:cs="Arial"/>
                <w:b/>
                <w:bCs/>
                <w:sz w:val="20"/>
                <w:szCs w:val="20"/>
              </w:rPr>
            </w:pPr>
            <w:r>
              <w:rPr>
                <w:rFonts w:ascii="Arial" w:hAnsi="Arial" w:cs="Arial"/>
                <w:b/>
                <w:bCs/>
                <w:sz w:val="20"/>
                <w:szCs w:val="20"/>
              </w:rPr>
              <w:t>Standard Definitions</w:t>
            </w:r>
          </w:p>
          <w:p w:rsidR="00F51562" w:rsidRDefault="00F51562" w:rsidP="00294E99">
            <w:pPr>
              <w:jc w:val="right"/>
              <w:rPr>
                <w:rFonts w:ascii="Arial" w:hAnsi="Arial" w:cs="Arial"/>
                <w:b/>
                <w:bCs/>
                <w:sz w:val="20"/>
                <w:szCs w:val="20"/>
              </w:rPr>
            </w:pPr>
          </w:p>
          <w:p w:rsidR="00F51562" w:rsidRDefault="00F51562" w:rsidP="00294E99">
            <w:pPr>
              <w:jc w:val="right"/>
              <w:rPr>
                <w:rFonts w:ascii="Arial" w:hAnsi="Arial" w:cs="Arial"/>
                <w:b/>
                <w:bCs/>
                <w:sz w:val="20"/>
                <w:szCs w:val="20"/>
              </w:rPr>
            </w:pPr>
          </w:p>
          <w:p w:rsidR="00F51562" w:rsidRDefault="00F51562" w:rsidP="00294E99">
            <w:pPr>
              <w:jc w:val="right"/>
              <w:rPr>
                <w:rFonts w:ascii="Arial" w:hAnsi="Arial" w:cs="Arial"/>
                <w:b/>
                <w:bCs/>
                <w:sz w:val="20"/>
                <w:szCs w:val="20"/>
              </w:rPr>
            </w:pPr>
          </w:p>
          <w:p w:rsidR="00F51562" w:rsidRDefault="00F51562" w:rsidP="00F51562">
            <w:pPr>
              <w:rPr>
                <w:rFonts w:ascii="Arial" w:hAnsi="Arial" w:cs="Arial"/>
                <w:b/>
                <w:bCs/>
                <w:sz w:val="20"/>
                <w:szCs w:val="20"/>
              </w:rPr>
            </w:pPr>
          </w:p>
          <w:p w:rsidR="00F51562" w:rsidRDefault="00F51562" w:rsidP="00294E99">
            <w:pPr>
              <w:jc w:val="right"/>
              <w:rPr>
                <w:rFonts w:ascii="Arial" w:hAnsi="Arial" w:cs="Arial"/>
                <w:b/>
                <w:bCs/>
                <w:sz w:val="20"/>
                <w:szCs w:val="20"/>
              </w:rPr>
            </w:pPr>
            <w:r>
              <w:rPr>
                <w:rFonts w:ascii="Arial" w:hAnsi="Arial" w:cs="Arial"/>
                <w:b/>
                <w:bCs/>
                <w:sz w:val="20"/>
                <w:szCs w:val="20"/>
              </w:rPr>
              <w:t>Standard Provisions</w:t>
            </w:r>
          </w:p>
          <w:p w:rsidR="00F51562" w:rsidRDefault="00F51562" w:rsidP="00294E99">
            <w:pPr>
              <w:jc w:val="right"/>
              <w:rPr>
                <w:rFonts w:ascii="Arial" w:hAnsi="Arial" w:cs="Arial"/>
                <w:b/>
                <w:bCs/>
                <w:sz w:val="20"/>
                <w:szCs w:val="20"/>
              </w:rPr>
            </w:pPr>
          </w:p>
          <w:p w:rsidR="00F51562" w:rsidRDefault="00F51562" w:rsidP="00294E99">
            <w:pPr>
              <w:jc w:val="right"/>
              <w:rPr>
                <w:rFonts w:ascii="Arial" w:hAnsi="Arial" w:cs="Arial"/>
                <w:color w:val="000000"/>
                <w:sz w:val="20"/>
                <w:szCs w:val="20"/>
              </w:rPr>
            </w:pPr>
          </w:p>
        </w:tc>
        <w:tc>
          <w:tcPr>
            <w:tcW w:w="3950" w:type="pct"/>
            <w:hideMark/>
          </w:tcPr>
          <w:p w:rsidR="00792610" w:rsidRDefault="00792610" w:rsidP="00294E99">
            <w:pPr>
              <w:rPr>
                <w:rFonts w:ascii="Arial" w:hAnsi="Arial" w:cs="Arial"/>
                <w:sz w:val="20"/>
                <w:szCs w:val="20"/>
              </w:rPr>
            </w:pPr>
            <w:r>
              <w:rPr>
                <w:rFonts w:ascii="Arial" w:hAnsi="Arial" w:cs="Arial"/>
                <w:sz w:val="20"/>
                <w:szCs w:val="20"/>
              </w:rPr>
              <w:t xml:space="preserve">Applies to IT equipment on the </w:t>
            </w:r>
            <w:r w:rsidRPr="0047638F">
              <w:rPr>
                <w:rFonts w:ascii="Arial" w:hAnsi="Arial" w:cs="Arial"/>
                <w:sz w:val="20"/>
                <w:szCs w:val="20"/>
              </w:rPr>
              <w:t>City of Albuquerque</w:t>
            </w:r>
            <w:r>
              <w:rPr>
                <w:rFonts w:ascii="Arial" w:hAnsi="Arial" w:cs="Arial"/>
                <w:sz w:val="20"/>
                <w:szCs w:val="20"/>
              </w:rPr>
              <w:t>’s network.</w:t>
            </w:r>
          </w:p>
          <w:p w:rsidR="00F51562" w:rsidRPr="00F51562" w:rsidRDefault="00F51562" w:rsidP="00F51562">
            <w:pPr>
              <w:spacing w:after="0" w:line="240" w:lineRule="auto"/>
              <w:ind w:left="26"/>
              <w:contextualSpacing/>
              <w:jc w:val="both"/>
              <w:rPr>
                <w:rFonts w:ascii="Calibri" w:eastAsia="Calibri" w:hAnsi="Calibri" w:cs="Times New Roman"/>
                <w:sz w:val="20"/>
                <w:szCs w:val="20"/>
              </w:rPr>
            </w:pPr>
            <w:r w:rsidRPr="00F51562">
              <w:rPr>
                <w:rFonts w:ascii="Calibri" w:eastAsia="Calibri" w:hAnsi="Calibri" w:cs="Times New Roman"/>
                <w:sz w:val="20"/>
                <w:szCs w:val="20"/>
              </w:rPr>
              <w:t xml:space="preserve">The City of Albuquerque shall promote a secure computing environment for all staff and business partners.  Computing systems (including but not limited to: desktop workstations, laptops, hand-held, personal digital assistants, servers and network devices) are an integral part of the operations of the City and as such are vital to the City's mission. </w:t>
            </w:r>
            <w:r>
              <w:rPr>
                <w:rFonts w:ascii="Calibri" w:eastAsia="Calibri" w:hAnsi="Calibri" w:cs="Times New Roman"/>
                <w:sz w:val="20"/>
                <w:szCs w:val="20"/>
              </w:rPr>
              <w:t xml:space="preserve"> </w:t>
            </w:r>
            <w:r w:rsidRPr="00F51562">
              <w:rPr>
                <w:rFonts w:ascii="Calibri" w:eastAsia="Calibri" w:hAnsi="Calibri" w:cs="Times New Roman"/>
                <w:sz w:val="20"/>
                <w:szCs w:val="20"/>
              </w:rPr>
              <w:t xml:space="preserve">Computer viruses, worms, Trojans, to name a few, constitute a major threat to the integrity and performance of the computing operations, including access to critical data and the availability of the City’s network. This </w:t>
            </w:r>
            <w:r>
              <w:rPr>
                <w:rFonts w:ascii="Calibri" w:eastAsia="Calibri" w:hAnsi="Calibri" w:cs="Times New Roman"/>
                <w:sz w:val="20"/>
                <w:szCs w:val="20"/>
              </w:rPr>
              <w:t xml:space="preserve">Patch Management and Vulnerability </w:t>
            </w:r>
            <w:r w:rsidRPr="00F51562">
              <w:rPr>
                <w:rFonts w:ascii="Calibri" w:eastAsia="Calibri" w:hAnsi="Calibri" w:cs="Times New Roman"/>
                <w:sz w:val="20"/>
                <w:szCs w:val="20"/>
              </w:rPr>
              <w:t>standard will help ensure that all vulnerable computing platforms are hardened against attack and protected by antivirus software at all times.</w:t>
            </w:r>
          </w:p>
          <w:p w:rsidR="00F51562" w:rsidRPr="00F51562" w:rsidRDefault="00F51562" w:rsidP="00F51562">
            <w:pPr>
              <w:spacing w:after="0" w:line="240" w:lineRule="auto"/>
              <w:ind w:left="360"/>
              <w:contextualSpacing/>
              <w:rPr>
                <w:rFonts w:ascii="Calibri" w:eastAsia="Calibri" w:hAnsi="Calibri" w:cs="Times New Roman"/>
              </w:rPr>
            </w:pPr>
          </w:p>
          <w:p w:rsidR="00F51562" w:rsidRDefault="00F51562" w:rsidP="00F51562">
            <w:pPr>
              <w:spacing w:after="0" w:line="240" w:lineRule="auto"/>
              <w:ind w:left="360"/>
              <w:rPr>
                <w:rFonts w:ascii="Calibri" w:eastAsia="Calibri" w:hAnsi="Calibri" w:cs="Times New Roman"/>
                <w:b/>
              </w:rPr>
            </w:pPr>
          </w:p>
          <w:p w:rsidR="00F51562" w:rsidRPr="00F51562" w:rsidRDefault="00F51562" w:rsidP="00F51562">
            <w:pPr>
              <w:numPr>
                <w:ilvl w:val="0"/>
                <w:numId w:val="2"/>
              </w:numPr>
              <w:tabs>
                <w:tab w:val="num" w:pos="296"/>
              </w:tabs>
              <w:spacing w:after="100" w:afterAutospacing="1" w:line="240" w:lineRule="auto"/>
              <w:ind w:left="26" w:firstLine="0"/>
              <w:jc w:val="both"/>
              <w:rPr>
                <w:rFonts w:ascii="Calibri" w:eastAsia="Times New Roman" w:hAnsi="Calibri" w:cs="Times New Roman"/>
                <w:sz w:val="20"/>
                <w:szCs w:val="20"/>
              </w:rPr>
            </w:pPr>
            <w:r w:rsidRPr="00F51562">
              <w:rPr>
                <w:rFonts w:ascii="Calibri" w:eastAsia="Times New Roman" w:hAnsi="Calibri" w:cs="Times New Roman"/>
                <w:sz w:val="20"/>
                <w:szCs w:val="20"/>
              </w:rPr>
              <w:t>Any computer or network device connected to the City network, including wireless, the Any Connect (VPN) or dial-up connections, must be protected against attack by viruses, worms and Trojans. This standard applies to all devices connected, by any means, to the City network including those owned by the City, private individuals such as staff, vendor and business partner.</w:t>
            </w:r>
          </w:p>
          <w:p w:rsidR="00F51562" w:rsidRPr="00F51562" w:rsidRDefault="00F51562" w:rsidP="00F51562">
            <w:pPr>
              <w:numPr>
                <w:ilvl w:val="0"/>
                <w:numId w:val="2"/>
              </w:numPr>
              <w:tabs>
                <w:tab w:val="num" w:pos="296"/>
              </w:tabs>
              <w:spacing w:after="100" w:afterAutospacing="1" w:line="240" w:lineRule="auto"/>
              <w:ind w:left="26" w:firstLine="0"/>
              <w:jc w:val="both"/>
              <w:rPr>
                <w:rFonts w:ascii="Calibri" w:eastAsia="Times New Roman" w:hAnsi="Calibri" w:cs="Times New Roman"/>
                <w:sz w:val="20"/>
                <w:szCs w:val="20"/>
              </w:rPr>
            </w:pPr>
            <w:r w:rsidRPr="00F51562">
              <w:rPr>
                <w:rFonts w:ascii="Calibri" w:eastAsia="Times New Roman" w:hAnsi="Calibri" w:cs="Times New Roman"/>
                <w:sz w:val="20"/>
                <w:szCs w:val="20"/>
              </w:rPr>
              <w:t>All antivirus software</w:t>
            </w:r>
            <w:r>
              <w:rPr>
                <w:rFonts w:ascii="Calibri" w:eastAsia="Times New Roman" w:hAnsi="Calibri" w:cs="Times New Roman"/>
                <w:sz w:val="20"/>
                <w:szCs w:val="20"/>
              </w:rPr>
              <w:t xml:space="preserve"> and Security patches</w:t>
            </w:r>
            <w:r w:rsidRPr="00F51562">
              <w:rPr>
                <w:rFonts w:ascii="Calibri" w:eastAsia="Times New Roman" w:hAnsi="Calibri" w:cs="Times New Roman"/>
                <w:sz w:val="20"/>
                <w:szCs w:val="20"/>
              </w:rPr>
              <w:t xml:space="preserve"> shall be actively managed to ensure that the latest virus signatures and </w:t>
            </w:r>
            <w:r>
              <w:rPr>
                <w:rFonts w:ascii="Calibri" w:eastAsia="Times New Roman" w:hAnsi="Calibri" w:cs="Times New Roman"/>
                <w:sz w:val="20"/>
                <w:szCs w:val="20"/>
              </w:rPr>
              <w:t>security</w:t>
            </w:r>
            <w:r w:rsidRPr="00F51562">
              <w:rPr>
                <w:rFonts w:ascii="Calibri" w:eastAsia="Times New Roman" w:hAnsi="Calibri" w:cs="Times New Roman"/>
                <w:sz w:val="20"/>
                <w:szCs w:val="20"/>
              </w:rPr>
              <w:t xml:space="preserve"> updates are installed. </w:t>
            </w:r>
            <w:r>
              <w:rPr>
                <w:rFonts w:ascii="Calibri" w:eastAsia="Times New Roman" w:hAnsi="Calibri" w:cs="Times New Roman"/>
                <w:sz w:val="20"/>
                <w:szCs w:val="20"/>
              </w:rPr>
              <w:t xml:space="preserve"> </w:t>
            </w:r>
            <w:r w:rsidRPr="00F51562">
              <w:rPr>
                <w:rFonts w:ascii="Calibri" w:eastAsia="Times New Roman" w:hAnsi="Calibri" w:cs="Times New Roman"/>
                <w:sz w:val="20"/>
                <w:szCs w:val="20"/>
              </w:rPr>
              <w:t xml:space="preserve">It is strongly recommended that the antivirus software </w:t>
            </w:r>
            <w:r>
              <w:rPr>
                <w:rFonts w:ascii="Calibri" w:eastAsia="Times New Roman" w:hAnsi="Calibri" w:cs="Times New Roman"/>
                <w:sz w:val="20"/>
                <w:szCs w:val="20"/>
              </w:rPr>
              <w:t xml:space="preserve">and security updates </w:t>
            </w:r>
            <w:r w:rsidRPr="00F51562">
              <w:rPr>
                <w:rFonts w:ascii="Calibri" w:eastAsia="Times New Roman" w:hAnsi="Calibri" w:cs="Times New Roman"/>
                <w:sz w:val="20"/>
                <w:szCs w:val="20"/>
              </w:rPr>
              <w:t>be configured to obt</w:t>
            </w:r>
            <w:r>
              <w:rPr>
                <w:rFonts w:ascii="Calibri" w:eastAsia="Times New Roman" w:hAnsi="Calibri" w:cs="Times New Roman"/>
                <w:sz w:val="20"/>
                <w:szCs w:val="20"/>
              </w:rPr>
              <w:t>ain these updates automatically.</w:t>
            </w:r>
          </w:p>
          <w:p w:rsidR="00F51562" w:rsidRPr="00F51562" w:rsidRDefault="00F51562" w:rsidP="00294E99">
            <w:pPr>
              <w:numPr>
                <w:ilvl w:val="0"/>
                <w:numId w:val="2"/>
              </w:numPr>
              <w:tabs>
                <w:tab w:val="num" w:pos="296"/>
              </w:tabs>
              <w:spacing w:after="100" w:afterAutospacing="1" w:line="240" w:lineRule="auto"/>
              <w:ind w:left="26" w:firstLine="0"/>
              <w:jc w:val="both"/>
              <w:rPr>
                <w:rFonts w:ascii="Calibri" w:eastAsia="Times New Roman" w:hAnsi="Calibri" w:cs="Times New Roman"/>
                <w:sz w:val="20"/>
                <w:szCs w:val="20"/>
              </w:rPr>
            </w:pPr>
            <w:r w:rsidRPr="00F51562">
              <w:rPr>
                <w:rFonts w:ascii="Calibri" w:eastAsia="Times New Roman" w:hAnsi="Calibri" w:cs="Times New Roman"/>
                <w:sz w:val="20"/>
                <w:szCs w:val="20"/>
              </w:rPr>
              <w:t>The City reserves the right to review any device attached to the network (public or non-public) for adequate virus protection. The City reserves the right to deny access to the network to any device found to be inadequately protected.  Additionally, the City reserves the right to disable network access to any device that is insufficiently protected, or currently infected with a virus.  Network access may be restored when the device has been cleaned and current antivirus software and applicable operating system and application patches have been installed.</w:t>
            </w:r>
          </w:p>
          <w:p w:rsidR="00F51562" w:rsidRDefault="00F51562" w:rsidP="00294E99">
            <w:pPr>
              <w:rPr>
                <w:rFonts w:ascii="Arial" w:hAnsi="Arial" w:cs="Arial"/>
                <w:color w:val="000000"/>
                <w:sz w:val="20"/>
                <w:szCs w:val="20"/>
              </w:rPr>
            </w:pP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lastRenderedPageBreak/>
              <w:t>Standard</w:t>
            </w:r>
          </w:p>
        </w:tc>
        <w:tc>
          <w:tcPr>
            <w:tcW w:w="3950" w:type="pct"/>
            <w:hideMark/>
          </w:tcPr>
          <w:p w:rsidR="00792610" w:rsidRDefault="00792610" w:rsidP="00294E99">
            <w:p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A Patch and Vulnerability Group (PVG), this group is tasked to implement the patch and vulnerability management program.  This group functions are as follows;</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Create a System Inventory (using existing inventories).</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Monitor for Vulnerabilities, </w:t>
            </w:r>
            <w:proofErr w:type="spellStart"/>
            <w:r>
              <w:rPr>
                <w:rFonts w:ascii="Arial" w:hAnsi="Arial" w:cs="Arial"/>
                <w:color w:val="000000"/>
                <w:sz w:val="18"/>
                <w:szCs w:val="18"/>
              </w:rPr>
              <w:t>Remediations</w:t>
            </w:r>
            <w:proofErr w:type="spellEnd"/>
            <w:r>
              <w:rPr>
                <w:rFonts w:ascii="Arial" w:hAnsi="Arial" w:cs="Arial"/>
                <w:color w:val="000000"/>
                <w:sz w:val="18"/>
                <w:szCs w:val="18"/>
              </w:rPr>
              <w:t>, and Threats.</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Prioritize Vulnerability Remediation.</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Create an Organization-Specific Remediation Database.</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Conduct Testing of </w:t>
            </w:r>
            <w:proofErr w:type="spellStart"/>
            <w:r>
              <w:rPr>
                <w:rFonts w:ascii="Arial" w:hAnsi="Arial" w:cs="Arial"/>
                <w:color w:val="000000"/>
                <w:sz w:val="18"/>
                <w:szCs w:val="18"/>
              </w:rPr>
              <w:t>Remediations</w:t>
            </w:r>
            <w:proofErr w:type="spellEnd"/>
            <w:r>
              <w:rPr>
                <w:rFonts w:ascii="Arial" w:hAnsi="Arial" w:cs="Arial"/>
                <w:color w:val="000000"/>
                <w:sz w:val="18"/>
                <w:szCs w:val="18"/>
              </w:rPr>
              <w:t>.</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Deploy Vulnerability </w:t>
            </w:r>
            <w:proofErr w:type="spellStart"/>
            <w:r>
              <w:rPr>
                <w:rFonts w:ascii="Arial" w:hAnsi="Arial" w:cs="Arial"/>
                <w:color w:val="000000"/>
                <w:sz w:val="18"/>
                <w:szCs w:val="18"/>
              </w:rPr>
              <w:t>Remediations</w:t>
            </w:r>
            <w:proofErr w:type="spellEnd"/>
            <w:r>
              <w:rPr>
                <w:rFonts w:ascii="Arial" w:hAnsi="Arial" w:cs="Arial"/>
                <w:color w:val="000000"/>
                <w:sz w:val="18"/>
                <w:szCs w:val="18"/>
              </w:rPr>
              <w:t>.</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Distribute Vulnerability and Remediation Information to Local Administrators.</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Perform Automated Deployment of Patches.</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Configure Automatic Update of Application Whenever Possible and Appropriate.</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Verify Vulnerability Remediation Through Network and Host Vulnerability Scanning.</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Vulnerability Remediation Training.</w:t>
            </w:r>
          </w:p>
          <w:p w:rsidR="00792610" w:rsidRDefault="00792610" w:rsidP="00792610">
            <w:pPr>
              <w:numPr>
                <w:ilvl w:val="0"/>
                <w:numId w:val="1"/>
              </w:num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Provide Security Metrics for Patch and Vulnerability Management</w:t>
            </w:r>
          </w:p>
          <w:p w:rsidR="00792610" w:rsidRDefault="00792610" w:rsidP="00294E99">
            <w:p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 xml:space="preserve">The PVG will be led by the IT Security Officer.  The IT Security Officer will appoint members as required.  These members should have </w:t>
            </w:r>
            <w:proofErr w:type="gramStart"/>
            <w:r>
              <w:rPr>
                <w:rFonts w:ascii="Arial" w:hAnsi="Arial" w:cs="Arial"/>
                <w:color w:val="000000"/>
                <w:sz w:val="18"/>
                <w:szCs w:val="18"/>
              </w:rPr>
              <w:t>a knowledge</w:t>
            </w:r>
            <w:proofErr w:type="gramEnd"/>
            <w:r>
              <w:rPr>
                <w:rFonts w:ascii="Arial" w:hAnsi="Arial" w:cs="Arial"/>
                <w:color w:val="000000"/>
                <w:sz w:val="18"/>
                <w:szCs w:val="18"/>
              </w:rPr>
              <w:t xml:space="preserve"> of vulnerability and patch management, as well as system administration, </w:t>
            </w:r>
            <w:r w:rsidR="00E74011">
              <w:rPr>
                <w:rFonts w:ascii="Arial" w:hAnsi="Arial" w:cs="Arial"/>
                <w:color w:val="000000"/>
                <w:sz w:val="18"/>
                <w:szCs w:val="18"/>
              </w:rPr>
              <w:t xml:space="preserve">anti-virus, </w:t>
            </w:r>
            <w:r>
              <w:rPr>
                <w:rFonts w:ascii="Arial" w:hAnsi="Arial" w:cs="Arial"/>
                <w:color w:val="000000"/>
                <w:sz w:val="18"/>
                <w:szCs w:val="18"/>
              </w:rPr>
              <w:t>intrusion detection, and firewall management.</w:t>
            </w:r>
          </w:p>
          <w:p w:rsidR="00792610" w:rsidRDefault="00792610" w:rsidP="00294E99">
            <w:pPr>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The PVG will be responsible for creating procedures to achieve the functions listed above.</w:t>
            </w:r>
          </w:p>
          <w:p w:rsidR="00792610" w:rsidRDefault="00792610" w:rsidP="00294E99">
            <w:pPr>
              <w:spacing w:before="100" w:beforeAutospacing="1" w:after="100" w:afterAutospacing="1" w:line="240" w:lineRule="auto"/>
              <w:ind w:left="720"/>
              <w:rPr>
                <w:rFonts w:ascii="Arial" w:hAnsi="Arial" w:cs="Arial"/>
                <w:color w:val="000000"/>
                <w:sz w:val="18"/>
                <w:szCs w:val="18"/>
              </w:rPr>
            </w:pPr>
          </w:p>
        </w:tc>
      </w:tr>
      <w:tr w:rsidR="00792610" w:rsidTr="00294E99">
        <w:trPr>
          <w:tblCellSpacing w:w="0" w:type="dxa"/>
          <w:jc w:val="center"/>
        </w:trPr>
        <w:tc>
          <w:tcPr>
            <w:tcW w:w="1050" w:type="pct"/>
            <w:shd w:val="clear" w:color="auto" w:fill="D0B1A1"/>
            <w:hideMark/>
          </w:tcPr>
          <w:p w:rsidR="00792610" w:rsidRDefault="00792610" w:rsidP="00294E99">
            <w:pPr>
              <w:jc w:val="right"/>
              <w:rPr>
                <w:rFonts w:ascii="Arial" w:hAnsi="Arial" w:cs="Arial"/>
                <w:color w:val="000000"/>
                <w:sz w:val="20"/>
                <w:szCs w:val="20"/>
              </w:rPr>
            </w:pPr>
            <w:r>
              <w:rPr>
                <w:rFonts w:ascii="Arial" w:hAnsi="Arial" w:cs="Arial"/>
                <w:b/>
                <w:bCs/>
                <w:sz w:val="20"/>
                <w:szCs w:val="20"/>
              </w:rPr>
              <w:t>Rationale</w:t>
            </w:r>
          </w:p>
        </w:tc>
        <w:tc>
          <w:tcPr>
            <w:tcW w:w="3950" w:type="pct"/>
            <w:hideMark/>
          </w:tcPr>
          <w:p w:rsidR="00792610" w:rsidRDefault="00792610" w:rsidP="00294E99">
            <w:pPr>
              <w:rPr>
                <w:rFonts w:ascii="Arial" w:hAnsi="Arial" w:cs="Arial"/>
                <w:color w:val="000000"/>
                <w:sz w:val="20"/>
                <w:szCs w:val="20"/>
              </w:rPr>
            </w:pPr>
            <w:r>
              <w:rPr>
                <w:rFonts w:ascii="Arial" w:hAnsi="Arial" w:cs="Arial"/>
                <w:sz w:val="20"/>
                <w:szCs w:val="20"/>
              </w:rPr>
              <w:t xml:space="preserve">The City currently </w:t>
            </w:r>
            <w:proofErr w:type="gramStart"/>
            <w:r>
              <w:rPr>
                <w:rFonts w:ascii="Arial" w:hAnsi="Arial" w:cs="Arial"/>
                <w:sz w:val="20"/>
                <w:szCs w:val="20"/>
              </w:rPr>
              <w:t>have</w:t>
            </w:r>
            <w:proofErr w:type="gramEnd"/>
            <w:r>
              <w:rPr>
                <w:rFonts w:ascii="Arial" w:hAnsi="Arial" w:cs="Arial"/>
                <w:sz w:val="20"/>
                <w:szCs w:val="20"/>
              </w:rPr>
              <w:t xml:space="preserve"> around 8000 network end points and supports around 5,000 users.  Ensuring that the City’s and citizens data and is safe is an important function.  By following the NIST-Special Publication 800-40 will ensure that this is achieved.</w:t>
            </w:r>
          </w:p>
        </w:tc>
      </w:tr>
    </w:tbl>
    <w:p w:rsidR="00A74970" w:rsidRDefault="00A74970"/>
    <w:sectPr w:rsidR="00A74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BD1"/>
    <w:multiLevelType w:val="hybridMultilevel"/>
    <w:tmpl w:val="A366E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A3B0D55"/>
    <w:multiLevelType w:val="multilevel"/>
    <w:tmpl w:val="504A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10"/>
    <w:rsid w:val="00792610"/>
    <w:rsid w:val="00A74970"/>
    <w:rsid w:val="00D03207"/>
    <w:rsid w:val="00E74011"/>
    <w:rsid w:val="00F5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BF6ABE553147BF283CF73F5BA56C" ma:contentTypeVersion="19" ma:contentTypeDescription="Create a new document." ma:contentTypeScope="" ma:versionID="94a1c057c030803dc4cc60224b21f8df">
  <xsd:schema xmlns:xsd="http://www.w3.org/2001/XMLSchema" xmlns:xs="http://www.w3.org/2001/XMLSchema" xmlns:p="http://schemas.microsoft.com/office/2006/metadata/properties" targetNamespace="http://schemas.microsoft.com/office/2006/metadata/properties" ma:root="true" ma:fieldsID="309ea5b55547567b199a02a99b81e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E9C4696-A6E4-4081-8D86-86AC10127B4F}"/>
</file>

<file path=customXml/itemProps2.xml><?xml version="1.0" encoding="utf-8"?>
<ds:datastoreItem xmlns:ds="http://schemas.openxmlformats.org/officeDocument/2006/customXml" ds:itemID="{A32E5277-A221-4059-AAB9-2380A7D45DF3}"/>
</file>

<file path=customXml/itemProps3.xml><?xml version="1.0" encoding="utf-8"?>
<ds:datastoreItem xmlns:ds="http://schemas.openxmlformats.org/officeDocument/2006/customXml" ds:itemID="{DB3B0B2F-FDF6-4637-8B03-5455291A5C8F}"/>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O'Brien, Andre</dc:creator>
  <cp:lastModifiedBy>Montoya, Arthur C.</cp:lastModifiedBy>
  <cp:revision>3</cp:revision>
  <cp:lastPrinted>2013-07-03T20:26:00Z</cp:lastPrinted>
  <dcterms:created xsi:type="dcterms:W3CDTF">2013-04-16T16:23:00Z</dcterms:created>
  <dcterms:modified xsi:type="dcterms:W3CDTF">2013-07-03T20:26:00Z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0x010100A05DBF6ABE553147BF283CF73F5BA56C</vt:lpwstr>
  </property>
</Properties>
</file>